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74" w:rsidRDefault="00A34D74" w:rsidP="004261D1">
      <w:pPr>
        <w:spacing w:after="0" w:line="240" w:lineRule="auto"/>
        <w:jc w:val="center"/>
        <w:rPr>
          <w:rFonts w:eastAsia="Times New Roman" w:cs="Times New Roman"/>
          <w:b/>
          <w:bCs/>
          <w:szCs w:val="24"/>
          <w:lang w:eastAsia="es-CO"/>
        </w:rPr>
      </w:pPr>
    </w:p>
    <w:p w:rsidR="00A34D74" w:rsidRDefault="00A34D74" w:rsidP="004261D1">
      <w:pPr>
        <w:spacing w:after="0" w:line="240" w:lineRule="auto"/>
        <w:jc w:val="center"/>
        <w:rPr>
          <w:rFonts w:eastAsia="Times New Roman" w:cs="Times New Roman"/>
          <w:b/>
          <w:bCs/>
          <w:szCs w:val="24"/>
          <w:lang w:eastAsia="es-CO"/>
        </w:rPr>
      </w:pPr>
    </w:p>
    <w:p w:rsidR="00A34D74" w:rsidRDefault="00A34D74" w:rsidP="004261D1">
      <w:pPr>
        <w:spacing w:after="0" w:line="240" w:lineRule="auto"/>
        <w:jc w:val="center"/>
        <w:rPr>
          <w:rFonts w:eastAsia="Times New Roman" w:cs="Times New Roman"/>
          <w:b/>
          <w:bCs/>
          <w:szCs w:val="24"/>
          <w:lang w:eastAsia="es-CO"/>
        </w:rPr>
      </w:pPr>
    </w:p>
    <w:p w:rsidR="004261D1" w:rsidRPr="00A34D74" w:rsidRDefault="004261D1" w:rsidP="004261D1">
      <w:pPr>
        <w:spacing w:after="0" w:line="240" w:lineRule="auto"/>
        <w:jc w:val="center"/>
        <w:rPr>
          <w:rFonts w:eastAsia="Times New Roman" w:cs="Times New Roman"/>
          <w:szCs w:val="24"/>
          <w:lang w:eastAsia="es-CO"/>
        </w:rPr>
      </w:pPr>
      <w:bookmarkStart w:id="0" w:name="_GoBack"/>
      <w:bookmarkEnd w:id="0"/>
      <w:r w:rsidRPr="00A34D74">
        <w:rPr>
          <w:rFonts w:eastAsia="Times New Roman" w:cs="Times New Roman"/>
          <w:b/>
          <w:bCs/>
          <w:szCs w:val="24"/>
          <w:lang w:eastAsia="es-CO"/>
        </w:rPr>
        <w:t>OFICIO Nº 001931</w:t>
      </w:r>
    </w:p>
    <w:p w:rsidR="004261D1" w:rsidRPr="00A34D74" w:rsidRDefault="004261D1" w:rsidP="004261D1">
      <w:pPr>
        <w:spacing w:after="0" w:line="240" w:lineRule="auto"/>
        <w:jc w:val="center"/>
        <w:rPr>
          <w:rFonts w:eastAsia="Times New Roman" w:cs="Times New Roman"/>
          <w:szCs w:val="24"/>
          <w:lang w:eastAsia="es-CO"/>
        </w:rPr>
      </w:pPr>
      <w:r w:rsidRPr="00A34D74">
        <w:rPr>
          <w:rFonts w:eastAsia="Times New Roman" w:cs="Times New Roman"/>
          <w:b/>
          <w:bCs/>
          <w:szCs w:val="24"/>
          <w:lang w:eastAsia="es-CO"/>
        </w:rPr>
        <w:t>26-01-2015</w:t>
      </w:r>
    </w:p>
    <w:p w:rsidR="004261D1" w:rsidRPr="00A34D74" w:rsidRDefault="004261D1" w:rsidP="004261D1">
      <w:pPr>
        <w:spacing w:after="0" w:line="240" w:lineRule="auto"/>
        <w:jc w:val="center"/>
        <w:rPr>
          <w:rFonts w:eastAsia="Times New Roman" w:cs="Times New Roman"/>
          <w:szCs w:val="24"/>
          <w:lang w:eastAsia="es-CO"/>
        </w:rPr>
      </w:pPr>
      <w:r w:rsidRPr="00A34D74">
        <w:rPr>
          <w:rFonts w:eastAsia="Times New Roman" w:cs="Times New Roman"/>
          <w:b/>
          <w:bCs/>
          <w:szCs w:val="24"/>
          <w:lang w:eastAsia="es-CO"/>
        </w:rPr>
        <w:t>DIAN</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Subdirección de Gestión Normativa y Doctrina</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Bogotá, D.C.</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100208221- 00060</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proofErr w:type="spellStart"/>
      <w:r w:rsidRPr="00A34D74">
        <w:rPr>
          <w:rFonts w:eastAsia="Times New Roman" w:cs="Times New Roman"/>
          <w:b/>
          <w:bCs/>
          <w:szCs w:val="24"/>
          <w:lang w:eastAsia="es-CO"/>
        </w:rPr>
        <w:t>Ref</w:t>
      </w:r>
      <w:proofErr w:type="spellEnd"/>
      <w:r w:rsidRPr="00A34D74">
        <w:rPr>
          <w:rFonts w:eastAsia="Times New Roman" w:cs="Times New Roman"/>
          <w:b/>
          <w:bCs/>
          <w:szCs w:val="24"/>
          <w:lang w:eastAsia="es-CO"/>
        </w:rPr>
        <w:t>: </w:t>
      </w:r>
      <w:r w:rsidRPr="00A34D74">
        <w:rPr>
          <w:rFonts w:eastAsia="Times New Roman" w:cs="Times New Roman"/>
          <w:szCs w:val="24"/>
          <w:lang w:eastAsia="es-CO"/>
        </w:rPr>
        <w:t>Radicado 100031122 del 03/12/2014</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t>Tema </w:t>
      </w:r>
      <w:r w:rsidRPr="00A34D74">
        <w:rPr>
          <w:rFonts w:eastAsia="Times New Roman" w:cs="Times New Roman"/>
          <w:szCs w:val="24"/>
          <w:lang w:eastAsia="es-CO"/>
        </w:rPr>
        <w:t>Impuesto sobre la Renta y Complementarios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t>Descriptores </w:t>
      </w:r>
      <w:r w:rsidRPr="00A34D74">
        <w:rPr>
          <w:rFonts w:eastAsia="Times New Roman" w:cs="Times New Roman"/>
          <w:szCs w:val="24"/>
          <w:lang w:eastAsia="es-CO"/>
        </w:rPr>
        <w:t>Deducción por Donaciones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t>Fuentes formales </w:t>
      </w:r>
      <w:r w:rsidRPr="00A34D74">
        <w:rPr>
          <w:rFonts w:eastAsia="Times New Roman" w:cs="Times New Roman"/>
          <w:szCs w:val="24"/>
          <w:lang w:eastAsia="es-CO"/>
        </w:rPr>
        <w:t>Estatuto Tributario, artículos </w:t>
      </w:r>
      <w:hyperlink r:id="rId4" w:tooltip="Estatuto Tributario CETA" w:history="1">
        <w:r w:rsidRPr="00A34D74">
          <w:rPr>
            <w:rFonts w:eastAsia="Times New Roman" w:cs="Times New Roman"/>
            <w:szCs w:val="24"/>
            <w:lang w:eastAsia="es-CO"/>
          </w:rPr>
          <w:t>22</w:t>
        </w:r>
      </w:hyperlink>
      <w:r w:rsidRPr="00A34D74">
        <w:rPr>
          <w:rFonts w:eastAsia="Times New Roman" w:cs="Times New Roman"/>
          <w:szCs w:val="24"/>
          <w:lang w:eastAsia="es-CO"/>
        </w:rPr>
        <w:t>, </w:t>
      </w:r>
      <w:hyperlink r:id="rId5" w:tooltip="Estatuto Tributario CETA" w:history="1">
        <w:r w:rsidRPr="00A34D74">
          <w:rPr>
            <w:rFonts w:eastAsia="Times New Roman" w:cs="Times New Roman"/>
            <w:szCs w:val="24"/>
            <w:lang w:eastAsia="es-CO"/>
          </w:rPr>
          <w:t>125</w:t>
        </w:r>
      </w:hyperlink>
      <w:r w:rsidRPr="00A34D74">
        <w:rPr>
          <w:rFonts w:eastAsia="Times New Roman" w:cs="Times New Roman"/>
          <w:szCs w:val="24"/>
          <w:lang w:eastAsia="es-CO"/>
        </w:rPr>
        <w:t>, </w:t>
      </w:r>
      <w:hyperlink r:id="rId6" w:tooltip="Estatuto Tributario CETA" w:history="1">
        <w:r w:rsidRPr="00A34D74">
          <w:rPr>
            <w:rFonts w:eastAsia="Times New Roman" w:cs="Times New Roman"/>
            <w:szCs w:val="24"/>
            <w:lang w:eastAsia="es-CO"/>
          </w:rPr>
          <w:t>125-3</w:t>
        </w:r>
      </w:hyperlink>
      <w:r w:rsidRPr="00A34D74">
        <w:rPr>
          <w:rFonts w:eastAsia="Times New Roman" w:cs="Times New Roman"/>
          <w:szCs w:val="24"/>
          <w:lang w:eastAsia="es-CO"/>
        </w:rPr>
        <w:t>, </w:t>
      </w:r>
      <w:hyperlink r:id="rId7" w:tooltip="Estatuto Tributario CETA" w:history="1">
        <w:r w:rsidRPr="00A34D74">
          <w:rPr>
            <w:rFonts w:eastAsia="Times New Roman" w:cs="Times New Roman"/>
            <w:szCs w:val="24"/>
            <w:lang w:eastAsia="es-CO"/>
          </w:rPr>
          <w:t>177</w:t>
        </w:r>
      </w:hyperlink>
      <w:r w:rsidRPr="00A34D74">
        <w:rPr>
          <w:rFonts w:eastAsia="Times New Roman" w:cs="Times New Roman"/>
          <w:szCs w:val="24"/>
          <w:lang w:eastAsia="es-CO"/>
        </w:rPr>
        <w:t>, </w:t>
      </w:r>
      <w:hyperlink r:id="rId8" w:tooltip="Estatuto Tributario CETA" w:history="1">
        <w:r w:rsidRPr="00A34D74">
          <w:rPr>
            <w:rFonts w:eastAsia="Times New Roman" w:cs="Times New Roman"/>
            <w:szCs w:val="24"/>
            <w:lang w:eastAsia="es-CO"/>
          </w:rPr>
          <w:t>742</w:t>
        </w:r>
      </w:hyperlink>
      <w:r w:rsidRPr="00A34D74">
        <w:rPr>
          <w:rFonts w:eastAsia="Times New Roman" w:cs="Times New Roman"/>
          <w:szCs w:val="24"/>
          <w:lang w:eastAsia="es-CO"/>
        </w:rPr>
        <w:t>, </w:t>
      </w:r>
      <w:hyperlink r:id="rId9" w:tooltip="Estatuto Tributario CETA" w:history="1">
        <w:r w:rsidRPr="00A34D74">
          <w:rPr>
            <w:rFonts w:eastAsia="Times New Roman" w:cs="Times New Roman"/>
            <w:szCs w:val="24"/>
            <w:lang w:eastAsia="es-CO"/>
          </w:rPr>
          <w:t>743</w:t>
        </w:r>
      </w:hyperlink>
      <w:r w:rsidRPr="00A34D74">
        <w:rPr>
          <w:rFonts w:eastAsia="Times New Roman" w:cs="Times New Roman"/>
          <w:szCs w:val="24"/>
          <w:lang w:eastAsia="es-CO"/>
        </w:rPr>
        <w:t> y </w:t>
      </w:r>
      <w:hyperlink r:id="rId10" w:tooltip="Estatuto Tributario CETA" w:history="1">
        <w:r w:rsidRPr="00A34D74">
          <w:rPr>
            <w:rFonts w:eastAsia="Times New Roman" w:cs="Times New Roman"/>
            <w:szCs w:val="24"/>
            <w:lang w:eastAsia="es-CO"/>
          </w:rPr>
          <w:t>777</w:t>
        </w:r>
      </w:hyperlink>
      <w:r w:rsidRPr="00A34D74">
        <w:rPr>
          <w:rFonts w:eastAsia="Times New Roman" w:cs="Times New Roman"/>
          <w:szCs w:val="24"/>
          <w:lang w:eastAsia="es-CO"/>
        </w:rPr>
        <w:t>.</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Reitera en el escrito de la referencia la consulta formulada a este Despacho en el mes de octubre de 2014, centrándose en esta oportunidad en las siguientes inquietudes: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Una compañía que tiene por objeto el reciclado de residuos no peligrosos, recibe donaciones de dicho producto de diferentes entidades, donaciones de las que queda constancia acerca de donde, cuando y a quien se le hizo la recolección,</w:t>
      </w:r>
      <w:r w:rsidRPr="00A34D74">
        <w:rPr>
          <w:rFonts w:eastAsia="Times New Roman" w:cs="Times New Roman"/>
          <w:b/>
          <w:bCs/>
          <w:szCs w:val="24"/>
          <w:lang w:eastAsia="es-CO"/>
        </w:rPr>
        <w:t> </w:t>
      </w:r>
      <w:r w:rsidRPr="00A34D74">
        <w:rPr>
          <w:rFonts w:eastAsia="Times New Roman" w:cs="Times New Roman"/>
          <w:szCs w:val="24"/>
          <w:lang w:eastAsia="es-CO"/>
        </w:rPr>
        <w:t>en documentos en relación con los cuales pregunta, si al ser emitidos por la misma compañía, constituyen soporte tributario válido para dar el ingreso al inventario y si no es así, qué documento se debe tener como soporte.</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Pregunta adicionalmente, si una compañía que tiene por objeto el reciclado de aceites vegetales usados de cocina, lo compra en Colombia y lo exporta para que sea convertido en biodiesel y no se encuentra enunciada en el </w:t>
      </w:r>
      <w:hyperlink r:id="rId11" w:tooltip="Estatuto Tributario CETA" w:history="1">
        <w:r w:rsidRPr="00A34D74">
          <w:rPr>
            <w:rFonts w:eastAsia="Times New Roman" w:cs="Times New Roman"/>
            <w:szCs w:val="24"/>
            <w:lang w:eastAsia="es-CO"/>
          </w:rPr>
          <w:t>artículo 125</w:t>
        </w:r>
      </w:hyperlink>
      <w:r w:rsidRPr="00A34D74">
        <w:rPr>
          <w:rFonts w:eastAsia="Times New Roman" w:cs="Times New Roman"/>
          <w:szCs w:val="24"/>
          <w:lang w:eastAsia="es-CO"/>
        </w:rPr>
        <w:t> del Estatuto Tributario, puede “adquirir productos de desecho/residuales en aquellas empresas que los producen, con iguales ventajas que las empresas del Art. </w:t>
      </w:r>
      <w:hyperlink r:id="rId12" w:tooltip="Estatuto Tributario CETA" w:history="1">
        <w:r w:rsidRPr="00A34D74">
          <w:rPr>
            <w:rFonts w:eastAsia="Times New Roman" w:cs="Times New Roman"/>
            <w:szCs w:val="24"/>
            <w:lang w:eastAsia="es-CO"/>
          </w:rPr>
          <w:t>22</w:t>
        </w:r>
      </w:hyperlink>
      <w:r w:rsidRPr="00A34D74">
        <w:rPr>
          <w:rFonts w:eastAsia="Times New Roman" w:cs="Times New Roman"/>
          <w:szCs w:val="24"/>
          <w:lang w:eastAsia="es-CO"/>
        </w:rPr>
        <w:t> y </w:t>
      </w:r>
      <w:hyperlink r:id="rId13" w:tooltip="Estatuto Tributario CETA" w:history="1">
        <w:r w:rsidRPr="00A34D74">
          <w:rPr>
            <w:rFonts w:eastAsia="Times New Roman" w:cs="Times New Roman"/>
            <w:szCs w:val="24"/>
            <w:lang w:eastAsia="es-CO"/>
          </w:rPr>
          <w:t>125</w:t>
        </w:r>
      </w:hyperlink>
      <w:r w:rsidRPr="00A34D74">
        <w:rPr>
          <w:rFonts w:eastAsia="Times New Roman" w:cs="Times New Roman"/>
          <w:szCs w:val="24"/>
          <w:lang w:eastAsia="es-CO"/>
        </w:rPr>
        <w:t>.”</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En</w:t>
      </w:r>
      <w:r w:rsidRPr="00A34D74">
        <w:rPr>
          <w:rFonts w:eastAsia="Times New Roman" w:cs="Times New Roman"/>
          <w:b/>
          <w:bCs/>
          <w:szCs w:val="24"/>
          <w:lang w:eastAsia="es-CO"/>
        </w:rPr>
        <w:t> </w:t>
      </w:r>
      <w:r w:rsidRPr="00A34D74">
        <w:rPr>
          <w:rFonts w:eastAsia="Times New Roman" w:cs="Times New Roman"/>
          <w:szCs w:val="24"/>
          <w:lang w:eastAsia="es-CO"/>
        </w:rPr>
        <w:t>el marco de la competencia enunciada, se considera en primer término que con la respuesta previamente suministrada por la Coordinación de Relatoría de esta Subdirección a través del Oficio No 061787 de 6 de noviembre de 2014, se resolvieron de manera general las inquietudes por usted planteadas en la consulta radicada con el número 100025697 de 3 de octubre del mismo año.</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No obstante lo anterior, nos permitimos adicionar la mencionada respuesta con los siguientes elementos: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En lo relativo a los medios probatorios válidos para demostrar hechos en materia tributaria, nos remitimos a lo dispuesto en el </w:t>
      </w:r>
      <w:hyperlink r:id="rId14" w:tooltip="Estatuto Tributario CETA" w:history="1">
        <w:r w:rsidRPr="00A34D74">
          <w:rPr>
            <w:rFonts w:eastAsia="Times New Roman" w:cs="Times New Roman"/>
            <w:szCs w:val="24"/>
            <w:lang w:eastAsia="es-CO"/>
          </w:rPr>
          <w:t>artículo 742</w:t>
        </w:r>
      </w:hyperlink>
      <w:r w:rsidRPr="00A34D74">
        <w:rPr>
          <w:rFonts w:eastAsia="Times New Roman" w:cs="Times New Roman"/>
          <w:szCs w:val="24"/>
          <w:lang w:eastAsia="es-CO"/>
        </w:rPr>
        <w:t> del Estatuto Tributario, norma que prescribe:</w:t>
      </w:r>
    </w:p>
    <w:p w:rsidR="004261D1" w:rsidRPr="00A34D74" w:rsidRDefault="004261D1" w:rsidP="004261D1">
      <w:pPr>
        <w:spacing w:after="0" w:line="240" w:lineRule="auto"/>
        <w:ind w:left="284"/>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ind w:left="284"/>
        <w:jc w:val="both"/>
        <w:rPr>
          <w:rFonts w:eastAsia="Times New Roman" w:cs="Times New Roman"/>
          <w:szCs w:val="24"/>
          <w:lang w:eastAsia="es-CO"/>
        </w:rPr>
      </w:pPr>
      <w:r w:rsidRPr="00A34D74">
        <w:rPr>
          <w:rFonts w:eastAsia="Times New Roman" w:cs="Times New Roman"/>
          <w:i/>
          <w:iCs/>
          <w:szCs w:val="24"/>
          <w:lang w:eastAsia="es-CO"/>
        </w:rPr>
        <w:t>“La determinación de tributos y la imposición de sanciones deben fundarse en los hechos que aparezcan demostrados en el respectivo expediente, por los medios de prueba señalados en las leyes tributarias o en el Código de Procedimiento Civil, en cuanto éstos sean compatibles con aquellos</w:t>
      </w:r>
      <w:proofErr w:type="gramStart"/>
      <w:r w:rsidRPr="00A34D74">
        <w:rPr>
          <w:rFonts w:eastAsia="Times New Roman" w:cs="Times New Roman"/>
          <w:i/>
          <w:iCs/>
          <w:szCs w:val="24"/>
          <w:lang w:eastAsia="es-CO"/>
        </w:rPr>
        <w:t>.“</w:t>
      </w:r>
      <w:proofErr w:type="gramEnd"/>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i/>
          <w:iCs/>
          <w:szCs w:val="24"/>
          <w:lang w:eastAsia="es-CO"/>
        </w:rPr>
        <w:lastRenderedPageBreak/>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El </w:t>
      </w:r>
      <w:hyperlink r:id="rId15" w:tooltip="Estatuto Tributario CETA" w:history="1">
        <w:r w:rsidRPr="00A34D74">
          <w:rPr>
            <w:rFonts w:eastAsia="Times New Roman" w:cs="Times New Roman"/>
            <w:szCs w:val="24"/>
            <w:lang w:eastAsia="es-CO"/>
          </w:rPr>
          <w:t>artículo 743</w:t>
        </w:r>
      </w:hyperlink>
      <w:r w:rsidRPr="00A34D74">
        <w:rPr>
          <w:rFonts w:eastAsia="Times New Roman" w:cs="Times New Roman"/>
          <w:szCs w:val="24"/>
          <w:lang w:eastAsia="es-CO"/>
        </w:rPr>
        <w:t> del citado ordenamiento a su vez establece, que “</w:t>
      </w:r>
      <w:r w:rsidRPr="00A34D74">
        <w:rPr>
          <w:rFonts w:eastAsia="Times New Roman" w:cs="Times New Roman"/>
          <w:i/>
          <w:iCs/>
          <w:szCs w:val="24"/>
          <w:lang w:eastAsia="es-CO"/>
        </w:rPr>
        <w:t>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Dentro de los medios probatorios en materia tributaria, se destaca la importancia de los libros de contabilidad del contribuyente, los que constituyen prueba a su favor, siempre que se lleven en debida forma, para el efecto, debe tenerse en cuenta que la contabilidad la conforma un conjunto de documentos integrados por libros, sus asientos, comprobantes y documentos que los respaldan, dentro de ellos, la factura.</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En este sentido resulta pertinente mencionar lo expuesto en el Concepto Especial 085922 de 5 de noviembre de 1998, reiterado por la Dirección de Gestión Jurídica en el Oficio 064185 de 2014, en relación con la obligación de expedir factura cuando se presente el retiro de inventarios como resultado de una donación, en él se sostuvo:</w:t>
      </w:r>
    </w:p>
    <w:p w:rsidR="004261D1" w:rsidRPr="00A34D74" w:rsidRDefault="004261D1" w:rsidP="004261D1">
      <w:pPr>
        <w:spacing w:after="0" w:line="240" w:lineRule="auto"/>
        <w:ind w:left="284"/>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ind w:left="284"/>
        <w:jc w:val="both"/>
        <w:rPr>
          <w:rFonts w:eastAsia="Times New Roman" w:cs="Times New Roman"/>
          <w:szCs w:val="24"/>
          <w:lang w:eastAsia="es-CO"/>
        </w:rPr>
      </w:pPr>
      <w:r w:rsidRPr="00A34D74">
        <w:rPr>
          <w:rFonts w:eastAsia="Times New Roman" w:cs="Times New Roman"/>
          <w:i/>
          <w:iCs/>
          <w:szCs w:val="24"/>
          <w:lang w:eastAsia="es-CO"/>
        </w:rPr>
        <w:t>“… Concepto Especial 085922 de 5 de noviembre de 1998:</w:t>
      </w:r>
    </w:p>
    <w:p w:rsidR="004261D1" w:rsidRPr="00A34D74" w:rsidRDefault="004261D1" w:rsidP="004261D1">
      <w:pPr>
        <w:spacing w:after="0" w:line="240" w:lineRule="auto"/>
        <w:ind w:left="284"/>
        <w:jc w:val="both"/>
        <w:rPr>
          <w:rFonts w:eastAsia="Times New Roman" w:cs="Times New Roman"/>
          <w:szCs w:val="24"/>
          <w:lang w:eastAsia="es-CO"/>
        </w:rPr>
      </w:pPr>
      <w:r w:rsidRPr="00A34D74">
        <w:rPr>
          <w:rFonts w:eastAsia="Times New Roman" w:cs="Times New Roman"/>
          <w:i/>
          <w:iCs/>
          <w:szCs w:val="24"/>
          <w:lang w:eastAsia="es-CO"/>
        </w:rPr>
        <w:t xml:space="preserve">“… Cuando se presente el retiro de inventarios en una operación sujeta al impuesto sobre las ventas y exista la obligación legal para el comerciante, de expedir factura, por sus operaciones, debe concluirse que cualquiera sea la denominación que se empleé (sic), (retiros, muestras, obsequios, donaciones, etc.), e independientemente de la destinación o uso que se haga de los retiros, debe expedirse factura o documento equivalente, salvo en los casos expresamente dispuestos por la </w:t>
      </w:r>
      <w:proofErr w:type="gramStart"/>
      <w:r w:rsidRPr="00A34D74">
        <w:rPr>
          <w:rFonts w:eastAsia="Times New Roman" w:cs="Times New Roman"/>
          <w:i/>
          <w:iCs/>
          <w:szCs w:val="24"/>
          <w:lang w:eastAsia="es-CO"/>
        </w:rPr>
        <w:t>ley …</w:t>
      </w:r>
      <w:proofErr w:type="gramEnd"/>
      <w:r w:rsidRPr="00A34D74">
        <w:rPr>
          <w:rFonts w:eastAsia="Times New Roman" w:cs="Times New Roman"/>
          <w:i/>
          <w:iCs/>
          <w:szCs w:val="24"/>
          <w:lang w:eastAsia="es-CO"/>
        </w:rPr>
        <w:t>”.</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i/>
          <w:iCs/>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Vale la pena anotar igualmente, que el </w:t>
      </w:r>
      <w:hyperlink r:id="rId16" w:tooltip="Estatuto Tributario CETA" w:history="1">
        <w:r w:rsidRPr="00A34D74">
          <w:rPr>
            <w:rFonts w:eastAsia="Times New Roman" w:cs="Times New Roman"/>
            <w:szCs w:val="24"/>
            <w:lang w:eastAsia="es-CO"/>
          </w:rPr>
          <w:t>artículo 125-3</w:t>
        </w:r>
      </w:hyperlink>
      <w:r w:rsidRPr="00A34D74">
        <w:rPr>
          <w:rFonts w:eastAsia="Times New Roman" w:cs="Times New Roman"/>
          <w:szCs w:val="24"/>
          <w:lang w:eastAsia="es-CO"/>
        </w:rPr>
        <w:t> del Ordenamiento Tributario exige dentro de los requisitos para que proceda la deducción por concepto de donaciones, una certificación de la entidad donataria firmada por Revisor Fiscal o Contador, en donde conste la forma, el monto y la destinación de la donación, así como el cumplimiento de las condiciones señaladas en la ley para acceder a dicho tratamiento tributario, certificación que es prueba contable, conforme a lo establecido en el </w:t>
      </w:r>
      <w:hyperlink r:id="rId17" w:tooltip="Estatuto Tributario CETA" w:history="1">
        <w:r w:rsidRPr="00A34D74">
          <w:rPr>
            <w:rFonts w:eastAsia="Times New Roman" w:cs="Times New Roman"/>
            <w:szCs w:val="24"/>
            <w:lang w:eastAsia="es-CO"/>
          </w:rPr>
          <w:t>artículo 777</w:t>
        </w:r>
      </w:hyperlink>
      <w:r w:rsidRPr="00A34D74">
        <w:rPr>
          <w:rFonts w:eastAsia="Times New Roman" w:cs="Times New Roman"/>
          <w:szCs w:val="24"/>
          <w:lang w:eastAsia="es-CO"/>
        </w:rPr>
        <w:t> del Estatuto Tributario.</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Lo anterior, sin perjuicio de la facultad que tiene la administración de hacer las comprobaciones pertinentes en ejercicio de sus atribuciones legales.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Finalmente, en cuanto a la procedencia de la deducción en el impuesto sobre la renta del valor de las donaciones efectuadas a una entidad que no se encuentra dentro de las enunciadas en el </w:t>
      </w:r>
      <w:hyperlink r:id="rId18" w:tooltip="Estatuto Tributario CETA" w:history="1">
        <w:r w:rsidRPr="00A34D74">
          <w:rPr>
            <w:rFonts w:eastAsia="Times New Roman" w:cs="Times New Roman"/>
            <w:szCs w:val="24"/>
            <w:lang w:eastAsia="es-CO"/>
          </w:rPr>
          <w:t>artículo 125</w:t>
        </w:r>
      </w:hyperlink>
      <w:r w:rsidRPr="00A34D74">
        <w:rPr>
          <w:rFonts w:eastAsia="Times New Roman" w:cs="Times New Roman"/>
          <w:szCs w:val="24"/>
          <w:lang w:eastAsia="es-CO"/>
        </w:rPr>
        <w:t> del Estatuto Tributario, nos permitimos manifestar que dicho tratamiento tributario,</w:t>
      </w:r>
      <w:r w:rsidRPr="00A34D74">
        <w:rPr>
          <w:rFonts w:eastAsia="Times New Roman" w:cs="Times New Roman"/>
          <w:b/>
          <w:bCs/>
          <w:szCs w:val="24"/>
          <w:lang w:eastAsia="es-CO"/>
        </w:rPr>
        <w:t> </w:t>
      </w:r>
      <w:r w:rsidRPr="00A34D74">
        <w:rPr>
          <w:rFonts w:eastAsia="Times New Roman" w:cs="Times New Roman"/>
          <w:szCs w:val="24"/>
          <w:lang w:eastAsia="es-CO"/>
        </w:rPr>
        <w:t>solo es aplicable a los contribuyentes</w:t>
      </w:r>
      <w:r w:rsidRPr="00A34D74">
        <w:rPr>
          <w:rFonts w:eastAsia="Times New Roman" w:cs="Times New Roman"/>
          <w:b/>
          <w:bCs/>
          <w:szCs w:val="24"/>
          <w:lang w:eastAsia="es-CO"/>
        </w:rPr>
        <w:t> </w:t>
      </w:r>
      <w:r w:rsidRPr="00A34D74">
        <w:rPr>
          <w:rFonts w:eastAsia="Times New Roman" w:cs="Times New Roman"/>
          <w:szCs w:val="24"/>
          <w:lang w:eastAsia="es-CO"/>
        </w:rPr>
        <w:t>del impuesto de renta que estén obligados a presentar declaración de renta y complementarios dentro del país, que hayan efectuado donaciones durante el año o período gravable a las entidades señaladas en el </w:t>
      </w:r>
      <w:hyperlink r:id="rId19" w:tooltip="Estatuto Tributario CETA" w:history="1">
        <w:r w:rsidRPr="00A34D74">
          <w:rPr>
            <w:rFonts w:eastAsia="Times New Roman" w:cs="Times New Roman"/>
            <w:szCs w:val="24"/>
            <w:lang w:eastAsia="es-CO"/>
          </w:rPr>
          <w:t>artículo 22</w:t>
        </w:r>
      </w:hyperlink>
      <w:r w:rsidRPr="00A34D74">
        <w:rPr>
          <w:rFonts w:eastAsia="Times New Roman" w:cs="Times New Roman"/>
          <w:szCs w:val="24"/>
          <w:lang w:eastAsia="es-CO"/>
        </w:rPr>
        <w:t>, y a las asociaciones, corporaciones y fundaciones, sin ánimo de lucro, cuyo objeto social y actividad correspondan al desarrollo de la salud, la educación, la cultura, la religión, el deporte, la investigación científica y tecnológica, la ecología y protección ambiental, la defensa, protección y promoción de los derechos humanos y el acceso a la justicia o de programas de desarrollo social, siempre y cuando las mismas sean de interés general, en los términos y bajo las condiciones previstas en el </w:t>
      </w:r>
      <w:hyperlink r:id="rId20" w:tooltip="Estatuto Tributario CETA" w:history="1">
        <w:r w:rsidRPr="00A34D74">
          <w:rPr>
            <w:rFonts w:eastAsia="Times New Roman" w:cs="Times New Roman"/>
            <w:szCs w:val="24"/>
            <w:lang w:eastAsia="es-CO"/>
          </w:rPr>
          <w:t>artículo 125</w:t>
        </w:r>
      </w:hyperlink>
      <w:r w:rsidRPr="00A34D74">
        <w:rPr>
          <w:rFonts w:eastAsia="Times New Roman" w:cs="Times New Roman"/>
          <w:szCs w:val="24"/>
          <w:lang w:eastAsia="es-CO"/>
        </w:rPr>
        <w:t> y siguientes del Ordenamiento Tributario y sus normas reglamentarias.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Atentamente,</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 </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b/>
          <w:bCs/>
          <w:szCs w:val="24"/>
          <w:lang w:eastAsia="es-CO"/>
        </w:rPr>
        <w:lastRenderedPageBreak/>
        <w:t>YUMER YOEL AGUILAR VARGAS</w:t>
      </w:r>
    </w:p>
    <w:p w:rsidR="004261D1" w:rsidRPr="00A34D74" w:rsidRDefault="004261D1" w:rsidP="004261D1">
      <w:pPr>
        <w:spacing w:after="0" w:line="240" w:lineRule="auto"/>
        <w:jc w:val="both"/>
        <w:rPr>
          <w:rFonts w:eastAsia="Times New Roman" w:cs="Times New Roman"/>
          <w:szCs w:val="24"/>
          <w:lang w:eastAsia="es-CO"/>
        </w:rPr>
      </w:pPr>
      <w:r w:rsidRPr="00A34D74">
        <w:rPr>
          <w:rFonts w:eastAsia="Times New Roman" w:cs="Times New Roman"/>
          <w:szCs w:val="24"/>
          <w:lang w:eastAsia="es-CO"/>
        </w:rPr>
        <w:t>Subdirector de Gestión Normativa y Doctrina</w:t>
      </w:r>
    </w:p>
    <w:p w:rsidR="004261D1" w:rsidRPr="00A34D74" w:rsidRDefault="004261D1" w:rsidP="004261D1">
      <w:pPr>
        <w:spacing w:after="285" w:line="240" w:lineRule="auto"/>
        <w:jc w:val="both"/>
        <w:rPr>
          <w:rFonts w:eastAsia="Times New Roman" w:cs="Times New Roman"/>
          <w:szCs w:val="24"/>
          <w:lang w:eastAsia="es-CO"/>
        </w:rPr>
      </w:pPr>
      <w:r w:rsidRPr="00A34D74">
        <w:rPr>
          <w:rFonts w:eastAsia="Times New Roman" w:cs="Times New Roman"/>
          <w:szCs w:val="24"/>
          <w:lang w:eastAsia="es-CO"/>
        </w:rPr>
        <w:t> </w:t>
      </w:r>
    </w:p>
    <w:p w:rsidR="00961BFA" w:rsidRPr="00A34D74" w:rsidRDefault="00961BFA">
      <w:pPr>
        <w:rPr>
          <w:rFonts w:cs="Times New Roman"/>
          <w:szCs w:val="24"/>
        </w:rPr>
      </w:pPr>
    </w:p>
    <w:sectPr w:rsidR="00961BFA" w:rsidRPr="00A34D7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D1"/>
    <w:rsid w:val="0029351E"/>
    <w:rsid w:val="004261D1"/>
    <w:rsid w:val="00961BFA"/>
    <w:rsid w:val="00A34D7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D6C7-34B3-46F5-8C9B-B7CF456F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19" TargetMode="External"/><Relationship Id="rId13" Type="http://schemas.openxmlformats.org/officeDocument/2006/relationships/hyperlink" Target="http://www.ceta.org.co/html/vista_de_un_articulo.asp?Norma=177" TargetMode="External"/><Relationship Id="rId18" Type="http://schemas.openxmlformats.org/officeDocument/2006/relationships/hyperlink" Target="http://www.ceta.org.co/html/vista_de_un_articulo.asp?Norma=17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ta.org.co/html/vista_de_un_articulo.asp?Norma=241" TargetMode="External"/><Relationship Id="rId12" Type="http://schemas.openxmlformats.org/officeDocument/2006/relationships/hyperlink" Target="http://www.ceta.org.co/html/vista_de_un_articulo.asp?Norma=50" TargetMode="External"/><Relationship Id="rId17" Type="http://schemas.openxmlformats.org/officeDocument/2006/relationships/hyperlink" Target="http://www.ceta.org.co/html/vista_de_un_articulo.asp?Norma=965" TargetMode="External"/><Relationship Id="rId2" Type="http://schemas.openxmlformats.org/officeDocument/2006/relationships/settings" Target="settings.xml"/><Relationship Id="rId16" Type="http://schemas.openxmlformats.org/officeDocument/2006/relationships/hyperlink" Target="http://www.ceta.org.co/html/vista_de_un_articulo.asp?Norma=180" TargetMode="External"/><Relationship Id="rId20" Type="http://schemas.openxmlformats.org/officeDocument/2006/relationships/hyperlink" Target="http://www.ceta.org.co/html/vista_de_un_articulo.asp?Norma=177" TargetMode="External"/><Relationship Id="rId1" Type="http://schemas.openxmlformats.org/officeDocument/2006/relationships/styles" Target="styles.xml"/><Relationship Id="rId6" Type="http://schemas.openxmlformats.org/officeDocument/2006/relationships/hyperlink" Target="http://www.ceta.org.co/html/vista_de_un_articulo.asp?Norma=180" TargetMode="External"/><Relationship Id="rId11" Type="http://schemas.openxmlformats.org/officeDocument/2006/relationships/hyperlink" Target="http://www.ceta.org.co/html/vista_de_un_articulo.asp?Norma=177" TargetMode="External"/><Relationship Id="rId5" Type="http://schemas.openxmlformats.org/officeDocument/2006/relationships/hyperlink" Target="http://www.ceta.org.co/html/vista_de_un_articulo.asp?Norma=177" TargetMode="External"/><Relationship Id="rId15" Type="http://schemas.openxmlformats.org/officeDocument/2006/relationships/hyperlink" Target="http://www.ceta.org.co/html/vista_de_un_articulo.asp?Norma=920" TargetMode="External"/><Relationship Id="rId10" Type="http://schemas.openxmlformats.org/officeDocument/2006/relationships/hyperlink" Target="http://www.ceta.org.co/html/vista_de_un_articulo.asp?Norma=965" TargetMode="External"/><Relationship Id="rId19" Type="http://schemas.openxmlformats.org/officeDocument/2006/relationships/hyperlink" Target="http://www.ceta.org.co/html/vista_de_un_articulo.asp?Norma=50" TargetMode="External"/><Relationship Id="rId4" Type="http://schemas.openxmlformats.org/officeDocument/2006/relationships/hyperlink" Target="http://www.ceta.org.co/html/vista_de_un_articulo.asp?Norma=50" TargetMode="External"/><Relationship Id="rId9" Type="http://schemas.openxmlformats.org/officeDocument/2006/relationships/hyperlink" Target="http://www.ceta.org.co/html/vista_de_un_articulo.asp?Norma=920" TargetMode="External"/><Relationship Id="rId14" Type="http://schemas.openxmlformats.org/officeDocument/2006/relationships/hyperlink" Target="http://www.ceta.org.co/html/vista_de_un_articulo.asp?Norma=91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2015-04-18T02:33:00Z</dcterms:created>
  <dcterms:modified xsi:type="dcterms:W3CDTF">2015-04-18T23:37:00Z</dcterms:modified>
</cp:coreProperties>
</file>